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88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"/>
        <w:gridCol w:w="3640"/>
        <w:gridCol w:w="4305"/>
        <w:gridCol w:w="1843"/>
        <w:gridCol w:w="2615"/>
        <w:gridCol w:w="2408"/>
      </w:tblGrid>
      <w:tr w:rsidR="00B3073F" w:rsidRPr="0038072C" w14:paraId="364CF46C" w14:textId="77777777" w:rsidTr="00B3073F">
        <w:trPr>
          <w:trHeight w:val="585"/>
        </w:trPr>
        <w:tc>
          <w:tcPr>
            <w:tcW w:w="15088" w:type="dxa"/>
            <w:gridSpan w:val="6"/>
            <w:noWrap/>
            <w:vAlign w:val="bottom"/>
            <w:hideMark/>
          </w:tcPr>
          <w:p w14:paraId="04BFF7A3" w14:textId="77777777" w:rsidR="00B3073F" w:rsidRPr="0038072C" w:rsidRDefault="00B3073F">
            <w:pPr>
              <w:spacing w:line="480" w:lineRule="auto"/>
              <w:jc w:val="center"/>
              <w:rPr>
                <w:rFonts w:cs="Calibri"/>
                <w:b/>
                <w:bCs/>
                <w:sz w:val="16"/>
                <w:szCs w:val="24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24"/>
                <w:lang w:eastAsia="en-US"/>
              </w:rPr>
              <w:t>Istituto d’Istruzione Superiore "M. Bartolo" - Pachino (SR)</w:t>
            </w:r>
          </w:p>
          <w:p w14:paraId="538BD3E6" w14:textId="77777777" w:rsidR="00B3073F" w:rsidRPr="0038072C" w:rsidRDefault="00765494">
            <w:pPr>
              <w:spacing w:line="480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lang w:eastAsia="en-US"/>
              </w:rPr>
              <w:t>INDIRIZZO: LICEO CLASSICO</w:t>
            </w:r>
          </w:p>
        </w:tc>
      </w:tr>
      <w:tr w:rsidR="00B3073F" w:rsidRPr="0038072C" w14:paraId="25823C78" w14:textId="77777777" w:rsidTr="00B3073F">
        <w:trPr>
          <w:trHeight w:val="270"/>
        </w:trPr>
        <w:tc>
          <w:tcPr>
            <w:tcW w:w="277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bottom"/>
          </w:tcPr>
          <w:p w14:paraId="4149B338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bottom"/>
            <w:hideMark/>
          </w:tcPr>
          <w:p w14:paraId="436D38F8" w14:textId="4D6540C5" w:rsidR="00B3073F" w:rsidRPr="0038072C" w:rsidRDefault="00765494">
            <w:pPr>
              <w:spacing w:line="276" w:lineRule="auto"/>
              <w:rPr>
                <w:rFonts w:cs="Calibri"/>
                <w:sz w:val="16"/>
                <w:szCs w:val="22"/>
                <w:lang w:eastAsia="en-US"/>
              </w:rPr>
            </w:pPr>
            <w:r w:rsidRPr="0038072C">
              <w:rPr>
                <w:rFonts w:cs="Calibri"/>
                <w:b/>
                <w:sz w:val="16"/>
                <w:szCs w:val="22"/>
                <w:lang w:eastAsia="en-US"/>
              </w:rPr>
              <w:t>Anno Scolastico   20</w:t>
            </w:r>
            <w:r w:rsidR="00376D33">
              <w:rPr>
                <w:rFonts w:cs="Calibri"/>
                <w:b/>
                <w:sz w:val="16"/>
                <w:szCs w:val="22"/>
                <w:lang w:eastAsia="en-US"/>
              </w:rPr>
              <w:t>2</w:t>
            </w:r>
            <w:r w:rsidR="00A02192">
              <w:rPr>
                <w:rFonts w:cs="Calibri"/>
                <w:b/>
                <w:sz w:val="16"/>
                <w:szCs w:val="22"/>
                <w:lang w:eastAsia="en-US"/>
              </w:rPr>
              <w:t>1/</w:t>
            </w:r>
            <w:r w:rsidRPr="0038072C">
              <w:rPr>
                <w:rFonts w:cs="Calibri"/>
                <w:b/>
                <w:sz w:val="16"/>
                <w:szCs w:val="22"/>
                <w:lang w:eastAsia="en-US"/>
              </w:rPr>
              <w:t>20</w:t>
            </w:r>
            <w:r w:rsidR="00454232">
              <w:rPr>
                <w:rFonts w:cs="Calibri"/>
                <w:b/>
                <w:sz w:val="16"/>
                <w:szCs w:val="22"/>
                <w:lang w:eastAsia="en-US"/>
              </w:rPr>
              <w:t>2</w:t>
            </w:r>
            <w:r w:rsidR="00A02192">
              <w:rPr>
                <w:rFonts w:cs="Calibri"/>
                <w:b/>
                <w:sz w:val="16"/>
                <w:szCs w:val="22"/>
                <w:lang w:eastAsia="en-US"/>
              </w:rPr>
              <w:t>2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18" w:space="0" w:color="auto"/>
              <w:right w:val="single" w:sz="18" w:space="0" w:color="000000"/>
            </w:tcBorders>
            <w:noWrap/>
            <w:vAlign w:val="bottom"/>
          </w:tcPr>
          <w:p w14:paraId="502F62D3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686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noWrap/>
            <w:vAlign w:val="bottom"/>
            <w:hideMark/>
          </w:tcPr>
          <w:p w14:paraId="44EF2599" w14:textId="77777777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>LIBRO DI TESTO</w:t>
            </w:r>
          </w:p>
        </w:tc>
      </w:tr>
      <w:tr w:rsidR="00962455" w:rsidRPr="0038072C" w14:paraId="43539DF0" w14:textId="77777777" w:rsidTr="000A3B05">
        <w:trPr>
          <w:trHeight w:val="255"/>
        </w:trPr>
        <w:tc>
          <w:tcPr>
            <w:tcW w:w="822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noWrap/>
            <w:vAlign w:val="bottom"/>
            <w:hideMark/>
          </w:tcPr>
          <w:p w14:paraId="105691ED" w14:textId="77777777" w:rsidR="00962455" w:rsidRPr="0038072C" w:rsidRDefault="00962455">
            <w:pPr>
              <w:spacing w:line="276" w:lineRule="auto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>Classe: 5</w:t>
            </w:r>
            <w:r w:rsidRPr="0038072C">
              <w:rPr>
                <w:rFonts w:cs="Calibri"/>
                <w:b/>
                <w:bCs/>
                <w:sz w:val="16"/>
                <w:szCs w:val="18"/>
                <w:vertAlign w:val="superscript"/>
                <w:lang w:eastAsia="en-US"/>
              </w:rPr>
              <w:t>a</w:t>
            </w: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 xml:space="preserve"> C</w:t>
            </w:r>
          </w:p>
        </w:tc>
        <w:tc>
          <w:tcPr>
            <w:tcW w:w="6866" w:type="dxa"/>
            <w:gridSpan w:val="3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  <w:noWrap/>
            <w:vAlign w:val="bottom"/>
            <w:hideMark/>
          </w:tcPr>
          <w:p w14:paraId="6428EBC4" w14:textId="7CD1BDBF" w:rsidR="00962455" w:rsidRPr="00954125" w:rsidRDefault="00962455">
            <w:pPr>
              <w:spacing w:line="276" w:lineRule="auto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 xml:space="preserve">Titolo: </w:t>
            </w:r>
            <w:r w:rsidR="00CE701B" w:rsidRPr="00954125">
              <w:rPr>
                <w:b/>
                <w:sz w:val="16"/>
                <w:szCs w:val="16"/>
              </w:rPr>
              <w:t>Profili storici, Volume 2° e 3°</w:t>
            </w:r>
          </w:p>
          <w:p w14:paraId="10E9A0A9" w14:textId="74C21881" w:rsidR="00962455" w:rsidRPr="00954125" w:rsidRDefault="00962455">
            <w:pPr>
              <w:spacing w:line="276" w:lineRule="auto"/>
              <w:ind w:left="842" w:hanging="842"/>
              <w:rPr>
                <w:rFonts w:cs="Calibri"/>
                <w:sz w:val="16"/>
                <w:szCs w:val="16"/>
                <w:lang w:eastAsia="en-US"/>
              </w:rPr>
            </w:pPr>
            <w:r w:rsidRPr="00954125">
              <w:rPr>
                <w:rFonts w:cs="Calibri"/>
                <w:b/>
                <w:bCs/>
                <w:sz w:val="16"/>
                <w:szCs w:val="16"/>
                <w:lang w:eastAsia="en-US"/>
              </w:rPr>
              <w:t xml:space="preserve">Autore: </w:t>
            </w:r>
            <w:r w:rsidR="00E24BAB" w:rsidRPr="00954125">
              <w:rPr>
                <w:b/>
                <w:sz w:val="16"/>
                <w:szCs w:val="16"/>
              </w:rPr>
              <w:t>Giardina-Sabatucci-Vidotto</w:t>
            </w:r>
          </w:p>
          <w:p w14:paraId="6DC540CB" w14:textId="559CFD82" w:rsidR="00962455" w:rsidRPr="0038072C" w:rsidRDefault="00962455" w:rsidP="00332F4D">
            <w:pPr>
              <w:spacing w:line="276" w:lineRule="auto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954125">
              <w:rPr>
                <w:rFonts w:cs="Calibri"/>
                <w:b/>
                <w:bCs/>
                <w:sz w:val="16"/>
                <w:szCs w:val="16"/>
                <w:lang w:eastAsia="en-US"/>
              </w:rPr>
              <w:t>Editore:</w:t>
            </w:r>
            <w:r w:rsidR="00954125" w:rsidRPr="00954125">
              <w:rPr>
                <w:rFonts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="00954125" w:rsidRPr="00954125">
              <w:rPr>
                <w:b/>
                <w:sz w:val="16"/>
                <w:szCs w:val="16"/>
              </w:rPr>
              <w:t>Editori Laterza</w:t>
            </w:r>
          </w:p>
        </w:tc>
      </w:tr>
      <w:tr w:rsidR="00962455" w:rsidRPr="0038072C" w14:paraId="39AFD994" w14:textId="77777777" w:rsidTr="00962455">
        <w:trPr>
          <w:trHeight w:val="255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noWrap/>
            <w:vAlign w:val="bottom"/>
            <w:hideMark/>
          </w:tcPr>
          <w:p w14:paraId="79DED321" w14:textId="77777777" w:rsidR="00962455" w:rsidRPr="0038072C" w:rsidRDefault="00962455">
            <w:pPr>
              <w:spacing w:line="276" w:lineRule="auto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>Materia: Storia</w:t>
            </w:r>
          </w:p>
        </w:tc>
        <w:tc>
          <w:tcPr>
            <w:tcW w:w="686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  <w:noWrap/>
            <w:vAlign w:val="bottom"/>
            <w:hideMark/>
          </w:tcPr>
          <w:p w14:paraId="74569C1C" w14:textId="77777777" w:rsidR="00962455" w:rsidRPr="0038072C" w:rsidRDefault="00962455" w:rsidP="00332F4D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962455" w:rsidRPr="0038072C" w14:paraId="40A9F064" w14:textId="77777777" w:rsidTr="00332F4D">
        <w:trPr>
          <w:trHeight w:val="270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000000"/>
            </w:tcBorders>
            <w:noWrap/>
            <w:vAlign w:val="bottom"/>
            <w:hideMark/>
          </w:tcPr>
          <w:p w14:paraId="2A3AE2E6" w14:textId="77777777" w:rsidR="00962455" w:rsidRPr="0038072C" w:rsidRDefault="00962455">
            <w:pPr>
              <w:spacing w:line="276" w:lineRule="auto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>Insegnante: Gaetana Munafò</w:t>
            </w:r>
          </w:p>
        </w:tc>
        <w:tc>
          <w:tcPr>
            <w:tcW w:w="6866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noWrap/>
            <w:vAlign w:val="bottom"/>
            <w:hideMark/>
          </w:tcPr>
          <w:p w14:paraId="301F6D1E" w14:textId="77777777" w:rsidR="00962455" w:rsidRPr="0038072C" w:rsidRDefault="00962455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B3073F" w:rsidRPr="0038072C" w14:paraId="1C90B0ED" w14:textId="77777777" w:rsidTr="00B3073F">
        <w:trPr>
          <w:trHeight w:val="253"/>
        </w:trPr>
        <w:tc>
          <w:tcPr>
            <w:tcW w:w="3917" w:type="dxa"/>
            <w:gridSpan w:val="2"/>
            <w:tcBorders>
              <w:top w:val="single" w:sz="1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noWrap/>
            <w:vAlign w:val="bottom"/>
            <w:hideMark/>
          </w:tcPr>
          <w:p w14:paraId="5277F3A9" w14:textId="77777777" w:rsidR="00B3073F" w:rsidRPr="0038072C" w:rsidRDefault="00765494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>COMPETENZE</w:t>
            </w:r>
          </w:p>
        </w:tc>
        <w:tc>
          <w:tcPr>
            <w:tcW w:w="4305" w:type="dxa"/>
            <w:tcBorders>
              <w:top w:val="single" w:sz="18" w:space="0" w:color="auto"/>
              <w:left w:val="single" w:sz="18" w:space="0" w:color="000000"/>
              <w:bottom w:val="single" w:sz="18" w:space="0" w:color="auto"/>
              <w:right w:val="single" w:sz="4" w:space="0" w:color="auto"/>
            </w:tcBorders>
            <w:noWrap/>
            <w:vAlign w:val="bottom"/>
            <w:hideMark/>
          </w:tcPr>
          <w:p w14:paraId="5ECB713C" w14:textId="77777777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>CONTENUTI</w:t>
            </w:r>
          </w:p>
        </w:tc>
        <w:tc>
          <w:tcPr>
            <w:tcW w:w="184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  <w:vAlign w:val="bottom"/>
            <w:hideMark/>
          </w:tcPr>
          <w:p w14:paraId="3DC3F8A4" w14:textId="77777777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>TEMPI</w:t>
            </w:r>
          </w:p>
        </w:tc>
        <w:tc>
          <w:tcPr>
            <w:tcW w:w="2615" w:type="dxa"/>
            <w:tcBorders>
              <w:top w:val="single" w:sz="18" w:space="0" w:color="000000"/>
              <w:left w:val="single" w:sz="1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26905C" w14:textId="77777777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>METODI</w:t>
            </w:r>
          </w:p>
        </w:tc>
        <w:tc>
          <w:tcPr>
            <w:tcW w:w="2408" w:type="dxa"/>
            <w:tcBorders>
              <w:top w:val="single" w:sz="18" w:space="0" w:color="000000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vAlign w:val="bottom"/>
            <w:hideMark/>
          </w:tcPr>
          <w:p w14:paraId="3C7CD8A9" w14:textId="77777777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>STRUMENTI</w:t>
            </w:r>
          </w:p>
        </w:tc>
      </w:tr>
      <w:tr w:rsidR="00B3073F" w:rsidRPr="0038072C" w14:paraId="1D91112D" w14:textId="77777777" w:rsidTr="00B3073F">
        <w:trPr>
          <w:trHeight w:val="1146"/>
        </w:trPr>
        <w:tc>
          <w:tcPr>
            <w:tcW w:w="3917" w:type="dxa"/>
            <w:gridSpan w:val="2"/>
            <w:vMerge w:val="restar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hideMark/>
          </w:tcPr>
          <w:p w14:paraId="75E02C4A" w14:textId="77777777" w:rsidR="00B3073F" w:rsidRPr="0038072C" w:rsidRDefault="00B3073F">
            <w:pPr>
              <w:spacing w:line="276" w:lineRule="auto"/>
              <w:rPr>
                <w:rFonts w:cs="Calibri"/>
                <w:b/>
                <w:bCs/>
                <w:sz w:val="16"/>
                <w:szCs w:val="18"/>
                <w:u w:val="single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u w:val="single"/>
                <w:lang w:eastAsia="en-US"/>
              </w:rPr>
              <w:t>Generali</w:t>
            </w:r>
          </w:p>
          <w:p w14:paraId="34101BED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Curare l’esposizione orale e saperla adeguare ai diversi contesti.</w:t>
            </w:r>
          </w:p>
          <w:p w14:paraId="690C357A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iCs/>
                <w:sz w:val="16"/>
                <w:szCs w:val="18"/>
                <w:lang w:eastAsia="en-US"/>
              </w:rPr>
            </w:pPr>
            <w:r w:rsidRPr="0038072C">
              <w:rPr>
                <w:iCs/>
                <w:sz w:val="16"/>
                <w:szCs w:val="18"/>
                <w:lang w:eastAsia="en-US"/>
              </w:rPr>
              <w:t>Acquisire l’abitudine a ragionare con rigore logico, ad identificare i problemi e a individuare possibili soluzioni</w:t>
            </w:r>
            <w:r w:rsidRPr="0038072C">
              <w:rPr>
                <w:sz w:val="16"/>
                <w:szCs w:val="18"/>
                <w:lang w:eastAsia="en-US"/>
              </w:rPr>
              <w:t>.</w:t>
            </w:r>
            <w:r w:rsidRPr="0038072C">
              <w:rPr>
                <w:b/>
                <w:sz w:val="16"/>
                <w:szCs w:val="18"/>
                <w:lang w:eastAsia="en-US"/>
              </w:rPr>
              <w:tab/>
            </w:r>
          </w:p>
          <w:p w14:paraId="146C761F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Essere in grado di leggere e interpretare criticamente i contenuti delle diverse forme di comunicazione.</w:t>
            </w:r>
          </w:p>
          <w:p w14:paraId="1FFC2CD9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 xml:space="preserve">Prendere appunti autonomamente, integrando le informazioni fornite dal docente con quelle del libro di testo. </w:t>
            </w:r>
          </w:p>
        </w:tc>
        <w:tc>
          <w:tcPr>
            <w:tcW w:w="4305" w:type="dxa"/>
            <w:vMerge w:val="restart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</w:tcPr>
          <w:p w14:paraId="099C36DF" w14:textId="05A300C2" w:rsidR="004A168B" w:rsidRPr="00A02192" w:rsidRDefault="00E02B84" w:rsidP="00A02192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2F368E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VOLUME 2°</w:t>
            </w:r>
            <w:r w:rsidR="004A168B"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</w:t>
            </w:r>
          </w:p>
          <w:p w14:paraId="574306FB" w14:textId="19DCEF39" w:rsidR="00944731" w:rsidRPr="002F368E" w:rsidRDefault="00944731" w:rsidP="0094473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CAP21 GOVERNARE L’ITALIA UNITA </w:t>
            </w:r>
          </w:p>
          <w:p w14:paraId="4BD21A40" w14:textId="77777777" w:rsidR="009807D7" w:rsidRPr="002F368E" w:rsidRDefault="009807D7" w:rsidP="0094473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1CC37ECC" w14:textId="5645DA19" w:rsidR="009807D7" w:rsidRPr="002F368E" w:rsidRDefault="009807D7" w:rsidP="009807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u w:val="single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u w:val="single"/>
                <w:lang w:eastAsia="en-US"/>
              </w:rPr>
              <w:t>VOLUME 3°</w:t>
            </w:r>
          </w:p>
          <w:p w14:paraId="12E41F12" w14:textId="0CB49627" w:rsidR="009807D7" w:rsidRPr="002F368E" w:rsidRDefault="009807D7" w:rsidP="009807D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UNITÀ 1 L’ALBA DEL ’900 </w:t>
            </w:r>
          </w:p>
          <w:p w14:paraId="740A7F75" w14:textId="77777777" w:rsidR="002328BB" w:rsidRPr="002F368E" w:rsidRDefault="009807D7" w:rsidP="002328B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CAP1 LA SOCIETÀ DI MASSA</w:t>
            </w:r>
          </w:p>
          <w:p w14:paraId="4CC29A47" w14:textId="51C8A470" w:rsidR="002328BB" w:rsidRPr="002F368E" w:rsidRDefault="002328BB" w:rsidP="002328B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Cap2 L’EUROPA E IL MONDO AGLI INIZI DEL ’900 </w:t>
            </w:r>
          </w:p>
          <w:p w14:paraId="067E880F" w14:textId="208315DC" w:rsidR="00F06402" w:rsidRDefault="001202B7" w:rsidP="00F0640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CAP3 L’ITALIA GIOLITTIANA</w:t>
            </w:r>
          </w:p>
          <w:p w14:paraId="5FEA6E7D" w14:textId="77777777" w:rsidR="002F368E" w:rsidRPr="002F368E" w:rsidRDefault="002F368E" w:rsidP="00F0640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  <w:p w14:paraId="6FABAA57" w14:textId="0D9ACB86" w:rsidR="00F06402" w:rsidRPr="002F368E" w:rsidRDefault="00F06402" w:rsidP="00F0640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UNITÀ 2 GUERRA E RIVOLUZIONE</w:t>
            </w:r>
          </w:p>
          <w:p w14:paraId="374A4DE6" w14:textId="77777777" w:rsidR="00C85E8B" w:rsidRPr="002F368E" w:rsidRDefault="00F06402" w:rsidP="00F0640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CAP4 LA PRIMA GUERRA MONDIALE E LA RIVOLUZIONE RUSSA</w:t>
            </w:r>
          </w:p>
          <w:p w14:paraId="389B448D" w14:textId="77777777" w:rsidR="00C85E8B" w:rsidRPr="002F368E" w:rsidRDefault="00C85E8B" w:rsidP="00C85E8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CAP5 L’EREDITÀ DELLA GRANDE GUERRA </w:t>
            </w:r>
          </w:p>
          <w:p w14:paraId="3A889F64" w14:textId="3F9D9BE2" w:rsidR="00524428" w:rsidRDefault="00524428" w:rsidP="0052442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CAP6 DOPOGUERRA E FASCISMO IN ITALIA </w:t>
            </w:r>
          </w:p>
          <w:p w14:paraId="1C720B37" w14:textId="77777777" w:rsidR="002F368E" w:rsidRPr="002F368E" w:rsidRDefault="002F368E" w:rsidP="0052442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  <w:p w14:paraId="6C6F32FC" w14:textId="77777777" w:rsidR="00A41298" w:rsidRPr="002F368E" w:rsidRDefault="00A41298" w:rsidP="00A4129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UNITÀ 3 CRISI, TOTALITARISMI, CONFLITTO MONDIALE </w:t>
            </w:r>
          </w:p>
          <w:p w14:paraId="0103E822" w14:textId="77777777" w:rsidR="00A41298" w:rsidRPr="002F368E" w:rsidRDefault="00A41298" w:rsidP="00A4129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CAP7 LA GRANDE CRISI: ECONOMIA E SOCIETÀ NEGLI ANNI ’30 </w:t>
            </w:r>
          </w:p>
          <w:p w14:paraId="4140AEB8" w14:textId="77777777" w:rsidR="00E231CB" w:rsidRPr="002F368E" w:rsidRDefault="00E231CB" w:rsidP="00E231C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CAP8 L’EUROPA DEGLI ANNI ’30: TOTALITARISMI E DEMOCRAZIE </w:t>
            </w:r>
          </w:p>
          <w:p w14:paraId="2FAC1668" w14:textId="77777777" w:rsidR="00624028" w:rsidRPr="002F368E" w:rsidRDefault="00624028" w:rsidP="0062402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CAP9 IL REGIME FASCISTA IN ITALIA </w:t>
            </w:r>
          </w:p>
          <w:p w14:paraId="5FFD7A06" w14:textId="5E24F5D9" w:rsidR="00134212" w:rsidRDefault="00134212" w:rsidP="0013421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CAP11 LA SECONDA GUERRA MONDIALE </w:t>
            </w:r>
          </w:p>
          <w:p w14:paraId="4AF880DD" w14:textId="77777777" w:rsidR="002F368E" w:rsidRPr="002F368E" w:rsidRDefault="002F368E" w:rsidP="0013421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  <w:p w14:paraId="6850FBDE" w14:textId="77777777" w:rsidR="00843FBB" w:rsidRPr="002F368E" w:rsidRDefault="00843FBB" w:rsidP="00843FB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UNITÀ 4 IL MONDO DIVISO </w:t>
            </w:r>
          </w:p>
          <w:p w14:paraId="05DB72F5" w14:textId="77777777" w:rsidR="00843FBB" w:rsidRPr="002F368E" w:rsidRDefault="00843FBB" w:rsidP="00843FB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CAP12 L’ETÀ DELLA GUERRA FREDDA </w:t>
            </w:r>
          </w:p>
          <w:p w14:paraId="5F7BB0AB" w14:textId="1A658616" w:rsidR="00123CD0" w:rsidRPr="002F368E" w:rsidRDefault="00123CD0" w:rsidP="00123C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</w:t>
            </w:r>
            <w:r w:rsidR="002F368E"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AP</w:t>
            </w: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14 L’ITALIA REPUBBLICANA </w:t>
            </w:r>
          </w:p>
          <w:p w14:paraId="0282D8AD" w14:textId="3A7481DE" w:rsidR="00DE0E4F" w:rsidRDefault="00DE0E4F" w:rsidP="00DE0E4F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CAP15 LA CIVILTÀ DEI CONSUMI </w:t>
            </w:r>
          </w:p>
          <w:p w14:paraId="22A6E47D" w14:textId="77777777" w:rsidR="002F368E" w:rsidRPr="002F368E" w:rsidRDefault="002F368E" w:rsidP="00DE0E4F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  <w:p w14:paraId="3C27720C" w14:textId="77777777" w:rsidR="00D84A32" w:rsidRPr="002F368E" w:rsidRDefault="00D84A32" w:rsidP="00D84A3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UNITÀ 5 LA ROTTURA DEGLI EQUILIBRI </w:t>
            </w:r>
          </w:p>
          <w:p w14:paraId="504F0DE0" w14:textId="77777777" w:rsidR="00D84A32" w:rsidRPr="002F368E" w:rsidRDefault="00D84A32" w:rsidP="00D84A3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CAP16 ANNI DI CAMBIAMENTO </w:t>
            </w:r>
          </w:p>
          <w:p w14:paraId="137967FA" w14:textId="20734ECE" w:rsidR="002F368E" w:rsidRDefault="002B1ACA" w:rsidP="002F368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2F368E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CAP17 LA CADUTA DEI COMUNISMI IN EUROPA </w:t>
            </w:r>
          </w:p>
          <w:p w14:paraId="2DD0C331" w14:textId="77777777" w:rsidR="00886043" w:rsidRPr="002F368E" w:rsidRDefault="00886043" w:rsidP="002F368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  <w:p w14:paraId="42A5CECF" w14:textId="77777777" w:rsidR="00886043" w:rsidRPr="00886043" w:rsidRDefault="00F06402" w:rsidP="00886043">
            <w:pPr>
              <w:tabs>
                <w:tab w:val="left" w:pos="0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  <w:lang w:val="en-US"/>
              </w:rPr>
            </w:pPr>
            <w:r w:rsidRPr="002F368E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="00886043" w:rsidRPr="00886043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  <w:lang w:val="en-US"/>
              </w:rPr>
              <w:t>TEMI DI CITTADINANZA:</w:t>
            </w:r>
          </w:p>
          <w:p w14:paraId="6DFBC06D" w14:textId="77777777" w:rsidR="00886043" w:rsidRPr="00886043" w:rsidRDefault="00886043" w:rsidP="00886043">
            <w:pPr>
              <w:pStyle w:val="Paragrafoelenco"/>
              <w:numPr>
                <w:ilvl w:val="0"/>
                <w:numId w:val="9"/>
              </w:numPr>
              <w:tabs>
                <w:tab w:val="left" w:pos="0"/>
              </w:tabs>
              <w:snapToGrid w:val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886043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Le donne e il diritto di voto</w:t>
            </w:r>
          </w:p>
          <w:p w14:paraId="6E120A1C" w14:textId="77777777" w:rsidR="00886043" w:rsidRPr="00886043" w:rsidRDefault="00886043" w:rsidP="00886043">
            <w:pPr>
              <w:pStyle w:val="Paragrafoelenco"/>
              <w:numPr>
                <w:ilvl w:val="0"/>
                <w:numId w:val="9"/>
              </w:numPr>
              <w:tabs>
                <w:tab w:val="left" w:pos="0"/>
              </w:tabs>
              <w:snapToGrid w:val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886043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 rapporti tra Stato e Chiesa in Italia</w:t>
            </w:r>
          </w:p>
          <w:p w14:paraId="451ABF65" w14:textId="77777777" w:rsidR="00886043" w:rsidRPr="00886043" w:rsidRDefault="00886043" w:rsidP="00886043">
            <w:pPr>
              <w:pStyle w:val="Paragrafoelenco"/>
              <w:numPr>
                <w:ilvl w:val="0"/>
                <w:numId w:val="9"/>
              </w:numPr>
              <w:tabs>
                <w:tab w:val="left" w:pos="0"/>
              </w:tabs>
              <w:snapToGrid w:val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886043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Il referendum</w:t>
            </w:r>
          </w:p>
          <w:p w14:paraId="2E2D5CD6" w14:textId="77777777" w:rsidR="00886043" w:rsidRPr="00886043" w:rsidRDefault="00886043" w:rsidP="00886043">
            <w:pPr>
              <w:pStyle w:val="Paragrafoelenco"/>
              <w:numPr>
                <w:ilvl w:val="0"/>
                <w:numId w:val="9"/>
              </w:numPr>
              <w:tabs>
                <w:tab w:val="left" w:pos="0"/>
              </w:tabs>
              <w:snapToGrid w:val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886043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Femminismo e diritti delle donne</w:t>
            </w:r>
          </w:p>
          <w:p w14:paraId="1D4F3ABC" w14:textId="77777777" w:rsidR="00886043" w:rsidRDefault="00886043" w:rsidP="00886043">
            <w:pPr>
              <w:pStyle w:val="Paragrafoelenco"/>
              <w:tabs>
                <w:tab w:val="left" w:pos="0"/>
              </w:tabs>
              <w:snapToGrid w:val="0"/>
              <w:ind w:left="0"/>
              <w:jc w:val="both"/>
              <w:rPr>
                <w:sz w:val="16"/>
                <w:szCs w:val="16"/>
                <w:lang w:val="en-US"/>
              </w:rPr>
            </w:pPr>
          </w:p>
          <w:p w14:paraId="27B2BB2D" w14:textId="038D1298" w:rsidR="00F06402" w:rsidRPr="002F368E" w:rsidRDefault="00F06402" w:rsidP="00F0640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4A5913A5" w14:textId="0EC372A9" w:rsidR="001202B7" w:rsidRPr="009517BF" w:rsidRDefault="001202B7" w:rsidP="001202B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14:paraId="5488A98A" w14:textId="56537383" w:rsidR="009807D7" w:rsidRPr="009517BF" w:rsidRDefault="009807D7" w:rsidP="009807D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14:paraId="14761FE5" w14:textId="57B6A40E" w:rsidR="00720EA9" w:rsidRPr="009A6BDA" w:rsidRDefault="00720EA9" w:rsidP="00420681">
            <w:pPr>
              <w:pStyle w:val="Paragrafoelenco"/>
              <w:tabs>
                <w:tab w:val="left" w:pos="0"/>
              </w:tabs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B2407A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5B604935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Settembre</w:t>
            </w:r>
          </w:p>
          <w:p w14:paraId="17E55BA2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54F92679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7545DAE0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Ottobre</w:t>
            </w:r>
          </w:p>
          <w:p w14:paraId="13EACB4C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3185E945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7952BA8E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Novembre</w:t>
            </w:r>
          </w:p>
          <w:p w14:paraId="75CBC627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257DCE04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66552F11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Dicembre</w:t>
            </w:r>
          </w:p>
          <w:p w14:paraId="6CFB812E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0797B208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61959B2C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Gennaio</w:t>
            </w:r>
          </w:p>
          <w:p w14:paraId="436EBEA7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0A94D414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  <w:p w14:paraId="0A98BAB7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  <w:r w:rsidRPr="0038072C">
              <w:rPr>
                <w:rFonts w:cs="Calibri"/>
                <w:sz w:val="16"/>
                <w:szCs w:val="18"/>
                <w:lang w:val="de-DE" w:eastAsia="en-US"/>
              </w:rPr>
              <w:t>Febbraio</w:t>
            </w:r>
          </w:p>
          <w:p w14:paraId="203FC1D8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48FC3A42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0F53D810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1E948860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  <w:r w:rsidRPr="0038072C">
              <w:rPr>
                <w:rFonts w:cs="Calibri"/>
                <w:sz w:val="16"/>
                <w:szCs w:val="18"/>
                <w:lang w:val="de-DE" w:eastAsia="en-US"/>
              </w:rPr>
              <w:t>Marzo</w:t>
            </w:r>
          </w:p>
          <w:p w14:paraId="434084F2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1D3908FD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301A99EB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078F9535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  <w:r w:rsidRPr="0038072C">
              <w:rPr>
                <w:rFonts w:cs="Calibri"/>
                <w:sz w:val="16"/>
                <w:szCs w:val="18"/>
                <w:lang w:val="de-DE" w:eastAsia="en-US"/>
              </w:rPr>
              <w:t>Aprile</w:t>
            </w:r>
          </w:p>
          <w:p w14:paraId="2A5BB4A6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1B2E0618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4FAC8CA0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299BC206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  <w:r w:rsidRPr="0038072C">
              <w:rPr>
                <w:rFonts w:cs="Calibri"/>
                <w:sz w:val="16"/>
                <w:szCs w:val="18"/>
                <w:lang w:val="de-DE" w:eastAsia="en-US"/>
              </w:rPr>
              <w:t>Maggio</w:t>
            </w:r>
          </w:p>
          <w:p w14:paraId="576F293C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5E8DC075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7F1D244A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1C061848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30DE3D20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58DBCC97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val="de-DE" w:eastAsia="en-US"/>
              </w:rPr>
            </w:pPr>
          </w:p>
          <w:p w14:paraId="0344A024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2615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</w:tcPr>
          <w:p w14:paraId="7AC02C0A" w14:textId="77777777" w:rsidR="00B3073F" w:rsidRPr="0038072C" w:rsidRDefault="00B3073F">
            <w:pPr>
              <w:spacing w:line="276" w:lineRule="auto"/>
              <w:jc w:val="both"/>
              <w:rPr>
                <w:rFonts w:cs="Arial"/>
                <w:sz w:val="16"/>
                <w:szCs w:val="18"/>
                <w:lang w:eastAsia="en-US"/>
              </w:rPr>
            </w:pPr>
            <w:r w:rsidRPr="0038072C">
              <w:rPr>
                <w:rFonts w:cs="Arial"/>
                <w:sz w:val="16"/>
                <w:szCs w:val="18"/>
                <w:lang w:eastAsia="en-US"/>
              </w:rPr>
              <w:lastRenderedPageBreak/>
              <w:t>Lezione frontale</w:t>
            </w:r>
          </w:p>
          <w:p w14:paraId="396666DC" w14:textId="77777777" w:rsidR="00B3073F" w:rsidRPr="0038072C" w:rsidRDefault="00B3073F">
            <w:pPr>
              <w:spacing w:line="276" w:lineRule="auto"/>
              <w:jc w:val="both"/>
              <w:rPr>
                <w:rFonts w:cs="Arial"/>
                <w:sz w:val="16"/>
                <w:szCs w:val="18"/>
                <w:lang w:eastAsia="en-US"/>
              </w:rPr>
            </w:pPr>
            <w:r w:rsidRPr="0038072C">
              <w:rPr>
                <w:rFonts w:cs="Arial"/>
                <w:sz w:val="16"/>
                <w:szCs w:val="18"/>
                <w:lang w:eastAsia="en-US"/>
              </w:rPr>
              <w:t>Dialogo guidato</w:t>
            </w:r>
          </w:p>
          <w:p w14:paraId="2884CDA1" w14:textId="77777777" w:rsidR="00B3073F" w:rsidRPr="0038072C" w:rsidRDefault="00B3073F">
            <w:pPr>
              <w:spacing w:line="276" w:lineRule="auto"/>
              <w:jc w:val="both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Arial"/>
                <w:sz w:val="16"/>
                <w:szCs w:val="18"/>
                <w:lang w:eastAsia="en-US"/>
              </w:rPr>
              <w:t>Lezione partecipata</w:t>
            </w:r>
          </w:p>
          <w:p w14:paraId="09D16CD0" w14:textId="77777777" w:rsidR="00B3073F" w:rsidRPr="0038072C" w:rsidRDefault="00B3073F">
            <w:pPr>
              <w:spacing w:line="276" w:lineRule="auto"/>
              <w:jc w:val="both"/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2481A70" w14:textId="77777777" w:rsidR="00215160" w:rsidRPr="00215160" w:rsidRDefault="00B3073F" w:rsidP="00376D33">
            <w:pPr>
              <w:pStyle w:val="Corpotesto"/>
              <w:spacing w:before="6" w:line="276" w:lineRule="auto"/>
              <w:ind w:right="-53"/>
              <w:rPr>
                <w:sz w:val="16"/>
                <w:szCs w:val="16"/>
              </w:rPr>
            </w:pPr>
            <w:r w:rsidRPr="00215160">
              <w:rPr>
                <w:sz w:val="16"/>
                <w:szCs w:val="16"/>
                <w:lang w:eastAsia="en-US"/>
              </w:rPr>
              <w:t>Libro di testo, Fonti e documenti</w:t>
            </w:r>
            <w:r w:rsidR="00215160" w:rsidRPr="00215160">
              <w:rPr>
                <w:sz w:val="16"/>
                <w:szCs w:val="16"/>
                <w:lang w:eastAsia="en-US"/>
              </w:rPr>
              <w:t xml:space="preserve">. </w:t>
            </w:r>
            <w:r w:rsidRPr="00215160">
              <w:rPr>
                <w:sz w:val="16"/>
                <w:szCs w:val="16"/>
                <w:lang w:eastAsia="en-US"/>
              </w:rPr>
              <w:t>Atlanti e cartine storiche, Presentazioni PowerPoint.</w:t>
            </w:r>
            <w:r w:rsidR="00215160" w:rsidRPr="00215160">
              <w:rPr>
                <w:sz w:val="16"/>
                <w:szCs w:val="16"/>
              </w:rPr>
              <w:t xml:space="preserve"> Visione di filmati. Documentari.</w:t>
            </w:r>
          </w:p>
          <w:p w14:paraId="632B2156" w14:textId="3C3EF94F" w:rsidR="00215160" w:rsidRPr="00215160" w:rsidRDefault="00215160" w:rsidP="00376D33">
            <w:pPr>
              <w:pStyle w:val="Corpotesto"/>
              <w:spacing w:before="6" w:line="276" w:lineRule="auto"/>
              <w:ind w:right="-53"/>
              <w:rPr>
                <w:sz w:val="16"/>
                <w:szCs w:val="16"/>
              </w:rPr>
            </w:pPr>
            <w:r w:rsidRPr="00215160">
              <w:rPr>
                <w:spacing w:val="-2"/>
                <w:sz w:val="16"/>
                <w:szCs w:val="16"/>
              </w:rPr>
              <w:t>Approfondimenti elaborati dall’insegnante</w:t>
            </w:r>
            <w:r w:rsidR="00A430A2">
              <w:rPr>
                <w:spacing w:val="-2"/>
                <w:sz w:val="16"/>
                <w:szCs w:val="16"/>
              </w:rPr>
              <w:t xml:space="preserve">. </w:t>
            </w:r>
            <w:r w:rsidRPr="00215160">
              <w:rPr>
                <w:spacing w:val="-2"/>
                <w:sz w:val="16"/>
                <w:szCs w:val="16"/>
              </w:rPr>
              <w:t xml:space="preserve">YouTube </w:t>
            </w:r>
          </w:p>
          <w:p w14:paraId="08AADA9B" w14:textId="77777777" w:rsidR="00B3073F" w:rsidRPr="00215160" w:rsidRDefault="00B3073F" w:rsidP="00376D33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B3073F" w:rsidRPr="0038072C" w14:paraId="4DC70755" w14:textId="77777777" w:rsidTr="00B3073F">
        <w:trPr>
          <w:trHeight w:val="19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14:paraId="614CACE9" w14:textId="77777777" w:rsidR="00B3073F" w:rsidRPr="0038072C" w:rsidRDefault="00B3073F">
            <w:pPr>
              <w:rPr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3E03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661CAFC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50B513D7" w14:textId="77777777" w:rsidR="00B3073F" w:rsidRPr="0038072C" w:rsidRDefault="00B3073F">
            <w:pPr>
              <w:spacing w:line="276" w:lineRule="auto"/>
              <w:jc w:val="both"/>
              <w:rPr>
                <w:rFonts w:cs="Arial"/>
                <w:sz w:val="16"/>
                <w:szCs w:val="18"/>
                <w:lang w:eastAsia="en-US"/>
              </w:rPr>
            </w:pPr>
          </w:p>
        </w:tc>
      </w:tr>
      <w:tr w:rsidR="00B3073F" w:rsidRPr="0038072C" w14:paraId="3C47E076" w14:textId="77777777" w:rsidTr="00B3073F">
        <w:trPr>
          <w:trHeight w:val="70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14:paraId="677114C1" w14:textId="77777777" w:rsidR="00B3073F" w:rsidRPr="0038072C" w:rsidRDefault="00B3073F">
            <w:pPr>
              <w:rPr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17E3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E3F4F42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5023" w:type="dxa"/>
            <w:gridSpan w:val="2"/>
            <w:vMerge w:val="restart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DD0711D" w14:textId="77777777" w:rsidR="00262701" w:rsidRPr="0038072C" w:rsidRDefault="00B307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Cs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 xml:space="preserve"> </w:t>
            </w:r>
          </w:p>
          <w:p w14:paraId="6BD015AF" w14:textId="1C175CFF" w:rsidR="00262701" w:rsidRPr="0038072C" w:rsidRDefault="00262701" w:rsidP="0026270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 w:cs="SegoeUI"/>
                <w:sz w:val="16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u w:val="single"/>
                <w:lang w:eastAsia="en-US"/>
              </w:rPr>
              <w:t xml:space="preserve">Osservazioni. </w:t>
            </w:r>
            <w:r w:rsidRPr="0038072C">
              <w:rPr>
                <w:rFonts w:cs="Calibri"/>
                <w:b/>
                <w:bCs/>
                <w:sz w:val="16"/>
                <w:szCs w:val="18"/>
                <w:lang w:eastAsia="en-US"/>
              </w:rPr>
              <w:t xml:space="preserve"> L</w:t>
            </w:r>
            <w:r w:rsidRPr="0038072C">
              <w:rPr>
                <w:rFonts w:eastAsiaTheme="minorHAnsi" w:cs="SegoeUI"/>
                <w:sz w:val="16"/>
                <w:lang w:eastAsia="en-US"/>
              </w:rPr>
              <w:t>a classe ha instaurato con la docente un rapporto educato e corretto</w:t>
            </w:r>
            <w:r w:rsidR="00A02192">
              <w:rPr>
                <w:rFonts w:eastAsiaTheme="minorHAnsi" w:cs="SegoeUI"/>
                <w:sz w:val="16"/>
                <w:lang w:eastAsia="en-US"/>
              </w:rPr>
              <w:t>; frequenta con regolarità.</w:t>
            </w:r>
            <w:r w:rsidRPr="0038072C">
              <w:rPr>
                <w:rFonts w:eastAsiaTheme="minorHAnsi" w:cs="SegoeUI"/>
                <w:sz w:val="16"/>
                <w:lang w:eastAsia="en-US"/>
              </w:rPr>
              <w:t xml:space="preserve"> Complessivamente e gradualmente, ha evidenziato un interesse sempre più propositivo per il lavoro svolto ed una partecipazione più responsabile al dialogo educativo, presupposti essenziali per il conseguimento di risultati apprezzabili nello studio. Alcuni</w:t>
            </w:r>
            <w:r w:rsidR="00385D44">
              <w:rPr>
                <w:rFonts w:eastAsiaTheme="minorHAnsi" w:cs="SegoeUI"/>
                <w:sz w:val="16"/>
                <w:lang w:eastAsia="en-US"/>
              </w:rPr>
              <w:t xml:space="preserve"> </w:t>
            </w:r>
            <w:r w:rsidRPr="0038072C">
              <w:rPr>
                <w:rFonts w:eastAsiaTheme="minorHAnsi" w:cs="SegoeUI"/>
                <w:sz w:val="16"/>
                <w:lang w:eastAsia="en-US"/>
              </w:rPr>
              <w:t xml:space="preserve">studenti si sono invece limitati ad un ascolto attento, intervenendo comunque in modo adeguato, se sollecitati. </w:t>
            </w:r>
          </w:p>
          <w:p w14:paraId="28DCB850" w14:textId="77777777" w:rsidR="00262701" w:rsidRDefault="00262701" w:rsidP="00262701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38072C">
              <w:rPr>
                <w:sz w:val="16"/>
                <w:lang w:eastAsia="en-US"/>
              </w:rPr>
              <w:t xml:space="preserve">La classe si può articolare in </w:t>
            </w:r>
            <w:r w:rsidR="00D05B15">
              <w:rPr>
                <w:sz w:val="16"/>
                <w:lang w:eastAsia="en-US"/>
              </w:rPr>
              <w:t>tre</w:t>
            </w:r>
            <w:r w:rsidRPr="0038072C">
              <w:rPr>
                <w:sz w:val="16"/>
                <w:lang w:eastAsia="en-US"/>
              </w:rPr>
              <w:t xml:space="preserve"> diverse fasce di conoscenze, competenze e metodo di studio maturati:</w:t>
            </w:r>
          </w:p>
          <w:p w14:paraId="36979188" w14:textId="77777777" w:rsidR="00D05B15" w:rsidRDefault="00D05B15" w:rsidP="00D05B1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b/>
                <w:sz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lang w:eastAsia="en-US"/>
              </w:rPr>
              <w:t>I Fascia</w:t>
            </w:r>
            <w:r>
              <w:rPr>
                <w:rFonts w:ascii="Calibri" w:hAnsi="Calibri"/>
                <w:sz w:val="16"/>
                <w:lang w:eastAsia="en-US"/>
              </w:rPr>
              <w:t xml:space="preserve">: costituita da alunni che hanno eccellente preparazione di base e </w:t>
            </w:r>
            <w:r>
              <w:rPr>
                <w:rFonts w:ascii="Calibri" w:eastAsiaTheme="minorHAnsi" w:hAnsi="Calibri"/>
                <w:sz w:val="16"/>
                <w:lang w:eastAsia="en-US"/>
              </w:rPr>
              <w:t>si sono distinti, nel corso del triennio, per notevoli capacità logico-critiche ed intuitive, notevole impegno e costanza di studio conseguendo obiettivi complessi quali la rielaborazione autonoma dei contenuti acquisiti, mediante collegamenti interdisciplinari e l’utilizzo di un lessico specifico.</w:t>
            </w:r>
            <w:r>
              <w:rPr>
                <w:rFonts w:ascii="Calibri" w:hAnsi="Calibri"/>
                <w:b/>
                <w:sz w:val="16"/>
                <w:lang w:eastAsia="en-US"/>
              </w:rPr>
              <w:t xml:space="preserve"> </w:t>
            </w:r>
          </w:p>
          <w:p w14:paraId="6FB6D848" w14:textId="55A2C138" w:rsidR="00D05B15" w:rsidRDefault="00D05B15" w:rsidP="00D05B15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Theme="minorHAnsi" w:hAnsi="Calibri"/>
                <w:sz w:val="16"/>
                <w:szCs w:val="24"/>
                <w:lang w:eastAsia="en-US"/>
              </w:rPr>
            </w:pPr>
            <w:r>
              <w:rPr>
                <w:rFonts w:ascii="Calibri" w:hAnsi="Calibri"/>
                <w:b/>
                <w:sz w:val="16"/>
                <w:lang w:eastAsia="en-US"/>
              </w:rPr>
              <w:t>II Fascia</w:t>
            </w:r>
            <w:r>
              <w:rPr>
                <w:rFonts w:ascii="Calibri" w:hAnsi="Calibri"/>
                <w:sz w:val="16"/>
                <w:lang w:eastAsia="en-US"/>
              </w:rPr>
              <w:t>: costituita da alunni che hanno buona preparazione di base</w:t>
            </w:r>
            <w:r w:rsidR="00385D44">
              <w:rPr>
                <w:rFonts w:ascii="Calibri" w:hAnsi="Calibri"/>
                <w:sz w:val="16"/>
                <w:lang w:eastAsia="en-US"/>
              </w:rPr>
              <w:t>,</w:t>
            </w:r>
            <w:r>
              <w:rPr>
                <w:rFonts w:ascii="Calibri" w:eastAsiaTheme="minorHAnsi" w:hAnsi="Calibri"/>
                <w:sz w:val="16"/>
                <w:lang w:eastAsia="en-US"/>
              </w:rPr>
              <w:t xml:space="preserve"> capacità logico-critiche, impegno e costanza di studio</w:t>
            </w:r>
            <w:r w:rsidR="00385D44">
              <w:rPr>
                <w:rFonts w:ascii="Calibri" w:eastAsiaTheme="minorHAnsi" w:hAnsi="Calibri"/>
                <w:sz w:val="16"/>
                <w:lang w:eastAsia="en-US"/>
              </w:rPr>
              <w:t>.</w:t>
            </w:r>
          </w:p>
          <w:p w14:paraId="5494461B" w14:textId="7B4B5D35" w:rsidR="00D05B15" w:rsidRDefault="00D05B15" w:rsidP="00D05B15">
            <w:pPr>
              <w:spacing w:line="276" w:lineRule="auto"/>
              <w:rPr>
                <w:rFonts w:ascii="Calibri" w:hAnsi="Calibri"/>
                <w:color w:val="000000"/>
                <w:sz w:val="16"/>
                <w:lang w:eastAsia="ar-SA"/>
              </w:rPr>
            </w:pPr>
            <w:r>
              <w:rPr>
                <w:rFonts w:ascii="Calibri" w:hAnsi="Calibri"/>
                <w:b/>
                <w:sz w:val="16"/>
                <w:lang w:eastAsia="en-US"/>
              </w:rPr>
              <w:t>III Fascia</w:t>
            </w:r>
            <w:r>
              <w:rPr>
                <w:rFonts w:ascii="Calibri" w:hAnsi="Calibri"/>
                <w:sz w:val="16"/>
                <w:lang w:eastAsia="en-US"/>
              </w:rPr>
              <w:t>: costituita da alunni che hanno una discreta</w:t>
            </w:r>
            <w:r w:rsidR="00385D44">
              <w:rPr>
                <w:rFonts w:ascii="Calibri" w:hAnsi="Calibri"/>
                <w:sz w:val="16"/>
                <w:lang w:eastAsia="en-US"/>
              </w:rPr>
              <w:t>/sufficiente</w:t>
            </w:r>
            <w:r>
              <w:rPr>
                <w:rFonts w:ascii="Calibri" w:hAnsi="Calibri"/>
                <w:sz w:val="16"/>
                <w:lang w:eastAsia="en-US"/>
              </w:rPr>
              <w:t xml:space="preserve"> preparazione di base e dimostrano accettabile autonomia ed impegno adeguato.</w:t>
            </w:r>
            <w:r>
              <w:rPr>
                <w:rFonts w:ascii="Calibri" w:hAnsi="Calibri"/>
                <w:color w:val="000000"/>
                <w:sz w:val="16"/>
                <w:lang w:eastAsia="en-US"/>
              </w:rPr>
              <w:t xml:space="preserve"> </w:t>
            </w:r>
          </w:p>
          <w:p w14:paraId="57524EB4" w14:textId="77777777" w:rsidR="00D05B15" w:rsidRPr="0038072C" w:rsidRDefault="00D05B15" w:rsidP="00262701">
            <w:pPr>
              <w:spacing w:line="276" w:lineRule="auto"/>
              <w:jc w:val="both"/>
              <w:rPr>
                <w:color w:val="000000"/>
                <w:sz w:val="16"/>
                <w:lang w:eastAsia="ar-SA"/>
              </w:rPr>
            </w:pPr>
          </w:p>
          <w:p w14:paraId="65EC7B6D" w14:textId="77777777" w:rsidR="00B3073F" w:rsidRPr="0038072C" w:rsidRDefault="00B3073F">
            <w:pPr>
              <w:spacing w:line="276" w:lineRule="auto"/>
              <w:jc w:val="both"/>
              <w:rPr>
                <w:rFonts w:cs="Arial"/>
                <w:sz w:val="16"/>
                <w:szCs w:val="18"/>
                <w:lang w:eastAsia="en-US"/>
              </w:rPr>
            </w:pPr>
          </w:p>
        </w:tc>
      </w:tr>
      <w:tr w:rsidR="00B3073F" w:rsidRPr="0038072C" w14:paraId="0CE44404" w14:textId="77777777" w:rsidTr="00B3073F">
        <w:trPr>
          <w:trHeight w:val="4650"/>
        </w:trPr>
        <w:tc>
          <w:tcPr>
            <w:tcW w:w="3917" w:type="dxa"/>
            <w:gridSpan w:val="2"/>
            <w:tcBorders>
              <w:top w:val="nil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hideMark/>
          </w:tcPr>
          <w:p w14:paraId="2C7ADCDE" w14:textId="77777777" w:rsidR="00B3073F" w:rsidRPr="0038072C" w:rsidRDefault="00B3073F">
            <w:pPr>
              <w:spacing w:line="276" w:lineRule="auto"/>
              <w:rPr>
                <w:rFonts w:cs="Calibri"/>
                <w:b/>
                <w:bCs/>
                <w:sz w:val="16"/>
                <w:szCs w:val="18"/>
                <w:u w:val="single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u w:val="single"/>
                <w:lang w:eastAsia="en-US"/>
              </w:rPr>
              <w:t>Specific</w:t>
            </w:r>
            <w:r w:rsidR="0035021A" w:rsidRPr="0038072C">
              <w:rPr>
                <w:rFonts w:cs="Calibri"/>
                <w:b/>
                <w:bCs/>
                <w:sz w:val="16"/>
                <w:szCs w:val="18"/>
                <w:u w:val="single"/>
                <w:lang w:eastAsia="en-US"/>
              </w:rPr>
              <w:t>he</w:t>
            </w:r>
          </w:p>
          <w:p w14:paraId="00780DDD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 xml:space="preserve">Essere in grado di leggere e interpretare criticamente i contenuti delle diverse forme di comunicazione. </w:t>
            </w:r>
          </w:p>
          <w:p w14:paraId="18B88944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Argomentare i fatti e gli eventi e cogliere differenze e analogie tra i fenomeni storici.</w:t>
            </w:r>
          </w:p>
          <w:p w14:paraId="7A76AF19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Usare modelli appropriati per inquadrare, comparare, periodizzare i diversi fenomeni storici</w:t>
            </w:r>
          </w:p>
          <w:p w14:paraId="36283CAB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Riconoscere e utilizzare il lessico e le categorie della tradizione storica.</w:t>
            </w:r>
          </w:p>
          <w:p w14:paraId="40AC419D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 xml:space="preserve">Analizzare le fonti e i documenti compiendo le seguenti operazioni: </w:t>
            </w:r>
          </w:p>
          <w:p w14:paraId="2B5E078B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definire e comprendere termini e concetti;</w:t>
            </w:r>
          </w:p>
          <w:p w14:paraId="51541B5D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enucleare le idee centrali;</w:t>
            </w:r>
          </w:p>
          <w:p w14:paraId="22AA9DA6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ricostruire la strategia argomentativa;</w:t>
            </w:r>
          </w:p>
          <w:p w14:paraId="066E9B23" w14:textId="77777777" w:rsidR="00B3073F" w:rsidRPr="0038072C" w:rsidRDefault="00B3073F" w:rsidP="0086695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riassumere le tesi fondamentali.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392C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398344F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11BA70C" w14:textId="77777777" w:rsidR="00B3073F" w:rsidRPr="0038072C" w:rsidRDefault="00B3073F">
            <w:pPr>
              <w:rPr>
                <w:rFonts w:cs="Arial"/>
                <w:sz w:val="16"/>
                <w:szCs w:val="18"/>
                <w:lang w:eastAsia="en-US"/>
              </w:rPr>
            </w:pPr>
          </w:p>
        </w:tc>
      </w:tr>
      <w:tr w:rsidR="00B3073F" w:rsidRPr="0038072C" w14:paraId="55B895B0" w14:textId="77777777" w:rsidTr="00B3073F">
        <w:trPr>
          <w:trHeight w:val="315"/>
        </w:trPr>
        <w:tc>
          <w:tcPr>
            <w:tcW w:w="3917" w:type="dxa"/>
            <w:gridSpan w:val="2"/>
            <w:tcBorders>
              <w:top w:val="single" w:sz="18" w:space="0" w:color="000000"/>
              <w:left w:val="single" w:sz="18" w:space="0" w:color="auto"/>
              <w:bottom w:val="nil"/>
              <w:right w:val="single" w:sz="18" w:space="0" w:color="000000"/>
            </w:tcBorders>
            <w:hideMark/>
          </w:tcPr>
          <w:p w14:paraId="2C11F9F6" w14:textId="77777777" w:rsidR="00B3073F" w:rsidRPr="0038072C" w:rsidRDefault="00B3073F">
            <w:pPr>
              <w:spacing w:line="276" w:lineRule="auto"/>
              <w:rPr>
                <w:rFonts w:cs="Calibri"/>
                <w:b/>
                <w:bCs/>
                <w:sz w:val="16"/>
                <w:szCs w:val="18"/>
                <w:u w:val="single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u w:val="single"/>
                <w:lang w:eastAsia="en-US"/>
              </w:rPr>
              <w:lastRenderedPageBreak/>
              <w:t xml:space="preserve">Tipologie di verifica 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8AF2829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2A485EA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5023" w:type="dxa"/>
            <w:gridSpan w:val="2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000000"/>
            </w:tcBorders>
            <w:hideMark/>
          </w:tcPr>
          <w:p w14:paraId="7CB20D63" w14:textId="77777777" w:rsidR="00B3073F" w:rsidRPr="0038072C" w:rsidRDefault="00B3073F">
            <w:pPr>
              <w:spacing w:line="276" w:lineRule="auto"/>
              <w:rPr>
                <w:rFonts w:cs="Calibri"/>
                <w:b/>
                <w:bCs/>
                <w:sz w:val="16"/>
                <w:szCs w:val="18"/>
                <w:u w:val="single"/>
                <w:lang w:eastAsia="en-US"/>
              </w:rPr>
            </w:pPr>
            <w:r w:rsidRPr="0038072C">
              <w:rPr>
                <w:rFonts w:cs="Calibri"/>
                <w:b/>
                <w:bCs/>
                <w:sz w:val="16"/>
                <w:szCs w:val="18"/>
                <w:u w:val="single"/>
                <w:lang w:eastAsia="en-US"/>
              </w:rPr>
              <w:t>Indicazioni metodologico - disciplinari</w:t>
            </w:r>
          </w:p>
        </w:tc>
      </w:tr>
      <w:tr w:rsidR="00B3073F" w:rsidRPr="0038072C" w14:paraId="4670BA56" w14:textId="77777777" w:rsidTr="00B3073F">
        <w:trPr>
          <w:trHeight w:val="330"/>
        </w:trPr>
        <w:tc>
          <w:tcPr>
            <w:tcW w:w="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3621F" w14:textId="77777777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  <w:hideMark/>
          </w:tcPr>
          <w:p w14:paraId="0AE8094B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Trattazione sintetica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2B94769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8F52D5C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5023" w:type="dxa"/>
            <w:gridSpan w:val="2"/>
            <w:vMerge w:val="restart"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</w:tcPr>
          <w:p w14:paraId="10D9EE54" w14:textId="77777777" w:rsidR="00B3073F" w:rsidRPr="0038072C" w:rsidRDefault="00B3073F">
            <w:p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I contenuti indicati sono stati attivati attraverso la seguente dinamica:</w:t>
            </w:r>
          </w:p>
          <w:p w14:paraId="1398D713" w14:textId="77777777" w:rsidR="00B3073F" w:rsidRPr="0038072C" w:rsidRDefault="00B3073F" w:rsidP="00866956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una fase iniziale espositiva, che inquadri la tematica;</w:t>
            </w:r>
          </w:p>
          <w:p w14:paraId="697F9D1C" w14:textId="77777777" w:rsidR="00B3073F" w:rsidRPr="0038072C" w:rsidRDefault="00B3073F" w:rsidP="00866956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una fase esemplificativa;</w:t>
            </w:r>
          </w:p>
          <w:p w14:paraId="5FBB37A0" w14:textId="77777777" w:rsidR="00B3073F" w:rsidRPr="0038072C" w:rsidRDefault="00B3073F" w:rsidP="00866956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una fase di coinvolgimento attivo degli studenti, che favorisca l’assimilazione dei concetti centrali e dell’argomento preso in esame.</w:t>
            </w:r>
          </w:p>
          <w:p w14:paraId="2C51EA04" w14:textId="77777777" w:rsidR="00B3073F" w:rsidRPr="0038072C" w:rsidRDefault="00B3073F">
            <w:pPr>
              <w:spacing w:line="276" w:lineRule="auto"/>
              <w:jc w:val="both"/>
              <w:rPr>
                <w:sz w:val="16"/>
                <w:szCs w:val="18"/>
                <w:lang w:eastAsia="en-US"/>
              </w:rPr>
            </w:pPr>
            <w:r w:rsidRPr="0038072C">
              <w:rPr>
                <w:sz w:val="16"/>
                <w:szCs w:val="18"/>
                <w:lang w:eastAsia="en-US"/>
              </w:rPr>
              <w:t>Tale schema metodologico ha avuto l’obiettivo di motivare lo studente all’apprendimento e allo studio, di aiutarlo a creare delle situazioni problematiche e di stimolarlo a fornire risposte adeguate, valorizzando, in tal modo, la propria intelligenza e le capacità di elaborazione personale. Infine è di fondamentale importanza consolidare e rifinire la creazione di un metodo di studio sempre più autonomo.</w:t>
            </w:r>
          </w:p>
          <w:p w14:paraId="5D8B5CB7" w14:textId="77777777" w:rsidR="00B3073F" w:rsidRPr="0038072C" w:rsidRDefault="00B3073F">
            <w:pPr>
              <w:spacing w:after="240" w:line="276" w:lineRule="auto"/>
              <w:jc w:val="both"/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B3073F" w:rsidRPr="0038072C" w14:paraId="0C032286" w14:textId="77777777" w:rsidTr="00B3073F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9579F" w14:textId="77777777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14935B90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Quesiti a risposta singola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42C4CE5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28EE620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1F1F3A0F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B3073F" w:rsidRPr="0038072C" w14:paraId="0E8AFA4B" w14:textId="77777777" w:rsidTr="00B3073F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036AF" w14:textId="77777777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734EC6C4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Quesiti a risposta multipla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02C3C53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C12FE04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6FA7AC54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B3073F" w:rsidRPr="0038072C" w14:paraId="7C2EECD7" w14:textId="77777777" w:rsidTr="00B3073F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0D8C1" w14:textId="77777777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0F781EDC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Problemi a soluzione rapida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E44A0FC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9E0ACD3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3B530D38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B3073F" w:rsidRPr="0038072C" w14:paraId="7B7AC684" w14:textId="77777777" w:rsidTr="00B3073F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0E998" w14:textId="02A2F5E1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684E3EDD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Verifiche scritte in classe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1CCE8B8A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ACBEC26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3C2F3E6E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B3073F" w:rsidRPr="0038072C" w14:paraId="1D269224" w14:textId="77777777" w:rsidTr="00B3073F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EBDE0" w14:textId="77777777" w:rsidR="00B3073F" w:rsidRPr="0038072C" w:rsidRDefault="00B3073F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26670109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Verifiche scritte a casa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89F74C2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84F230B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0F0064C5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B3073F" w:rsidRPr="0038072C" w14:paraId="04FC82EC" w14:textId="77777777" w:rsidTr="00B3073F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127DF" w14:textId="3DB15C1E" w:rsidR="00B3073F" w:rsidRPr="0038072C" w:rsidRDefault="00D60E4B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sz w:val="16"/>
                <w:szCs w:val="18"/>
                <w:lang w:eastAsia="en-US"/>
              </w:rPr>
              <w:t>X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6C238A13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Verifiche orali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A74E2AE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128F6B7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7B8DAB96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B3073F" w:rsidRPr="0038072C" w14:paraId="24E12879" w14:textId="77777777" w:rsidTr="00B3073F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73AB9" w14:textId="09A1ED9A" w:rsidR="00B3073F" w:rsidRPr="0038072C" w:rsidRDefault="00D60E4B">
            <w:pPr>
              <w:spacing w:line="276" w:lineRule="auto"/>
              <w:jc w:val="center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sz w:val="16"/>
                <w:szCs w:val="18"/>
                <w:lang w:eastAsia="en-US"/>
              </w:rPr>
              <w:t>X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6FD4C4BD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Dialogo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08C7853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7F0F71F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32453A7A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B3073F" w:rsidRPr="0038072C" w14:paraId="05B44AB1" w14:textId="77777777" w:rsidTr="00B3073F">
        <w:trPr>
          <w:trHeight w:val="215"/>
        </w:trPr>
        <w:tc>
          <w:tcPr>
            <w:tcW w:w="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A6EBD" w14:textId="77777777" w:rsidR="00B3073F" w:rsidRPr="0038072C" w:rsidRDefault="00B3073F">
            <w:pPr>
              <w:spacing w:line="360" w:lineRule="auto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000000"/>
            </w:tcBorders>
            <w:noWrap/>
          </w:tcPr>
          <w:p w14:paraId="12D73F20" w14:textId="77777777" w:rsidR="00B3073F" w:rsidRPr="0038072C" w:rsidRDefault="00B3073F">
            <w:pPr>
              <w:spacing w:line="60" w:lineRule="exact"/>
              <w:rPr>
                <w:rFonts w:cs="Calibri"/>
                <w:sz w:val="16"/>
                <w:szCs w:val="18"/>
                <w:lang w:eastAsia="en-US"/>
              </w:rPr>
            </w:pPr>
          </w:p>
          <w:p w14:paraId="669D68D8" w14:textId="77777777" w:rsidR="00B3073F" w:rsidRPr="0038072C" w:rsidRDefault="00B3073F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 w:rsidRPr="0038072C">
              <w:rPr>
                <w:rFonts w:cs="Calibri"/>
                <w:sz w:val="16"/>
                <w:szCs w:val="18"/>
                <w:lang w:eastAsia="en-US"/>
              </w:rPr>
              <w:t>Esercizi alla lavagna</w:t>
            </w:r>
          </w:p>
          <w:p w14:paraId="3FCC057A" w14:textId="77777777" w:rsidR="00B3073F" w:rsidRPr="0038072C" w:rsidRDefault="00B3073F">
            <w:pPr>
              <w:spacing w:line="100" w:lineRule="exact"/>
              <w:rPr>
                <w:rFonts w:cs="Calibri"/>
                <w:sz w:val="16"/>
                <w:szCs w:val="18"/>
                <w:lang w:eastAsia="en-US"/>
              </w:rPr>
            </w:pPr>
          </w:p>
          <w:p w14:paraId="10FAFF73" w14:textId="13226C40" w:rsidR="00B3073F" w:rsidRPr="0038072C" w:rsidRDefault="00886043">
            <w:pPr>
              <w:spacing w:line="276" w:lineRule="auto"/>
              <w:rPr>
                <w:rFonts w:cs="Calibri"/>
                <w:sz w:val="16"/>
                <w:szCs w:val="18"/>
                <w:lang w:eastAsia="en-US"/>
              </w:rPr>
            </w:pPr>
            <w:r>
              <w:rPr>
                <w:rFonts w:cs="Calibri"/>
                <w:sz w:val="16"/>
                <w:szCs w:val="18"/>
                <w:lang w:eastAsia="en-US"/>
              </w:rPr>
              <w:t>PPT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826A85C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E159322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2CBA64A8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</w:tr>
      <w:tr w:rsidR="00B3073F" w:rsidRPr="0038072C" w14:paraId="57EA46F0" w14:textId="77777777" w:rsidTr="00B3073F">
        <w:trPr>
          <w:trHeight w:val="38"/>
        </w:trPr>
        <w:tc>
          <w:tcPr>
            <w:tcW w:w="27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vAlign w:val="bottom"/>
          </w:tcPr>
          <w:p w14:paraId="70A20A9E" w14:textId="40BF7654" w:rsidR="00B3073F" w:rsidRPr="0038072C" w:rsidRDefault="00B3073F">
            <w:pPr>
              <w:spacing w:line="240" w:lineRule="exact"/>
              <w:rPr>
                <w:rFonts w:cs="Calibr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000000"/>
            </w:tcBorders>
            <w:vAlign w:val="center"/>
            <w:hideMark/>
          </w:tcPr>
          <w:p w14:paraId="137E3095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B1A8E3B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4CF5FEC" w14:textId="77777777" w:rsidR="00B3073F" w:rsidRPr="0038072C" w:rsidRDefault="00B3073F">
            <w:pPr>
              <w:rPr>
                <w:rFonts w:cs="Calibri"/>
                <w:sz w:val="16"/>
                <w:szCs w:val="18"/>
                <w:lang w:val="en-GB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529FCF8D" w14:textId="77777777" w:rsidR="00B3073F" w:rsidRPr="0038072C" w:rsidRDefault="00B3073F">
            <w:pPr>
              <w:rPr>
                <w:rFonts w:cs="Calibri"/>
                <w:sz w:val="16"/>
                <w:szCs w:val="18"/>
                <w:lang w:eastAsia="en-US"/>
              </w:rPr>
            </w:pPr>
          </w:p>
        </w:tc>
      </w:tr>
    </w:tbl>
    <w:p w14:paraId="71F5DB22" w14:textId="013EB48A" w:rsidR="00B3073F" w:rsidRDefault="00B3073F" w:rsidP="00B3073F">
      <w:pPr>
        <w:rPr>
          <w:sz w:val="16"/>
        </w:rPr>
      </w:pPr>
    </w:p>
    <w:p w14:paraId="74601B7F" w14:textId="260BCE80" w:rsidR="001A50E4" w:rsidRDefault="001A50E4" w:rsidP="00B3073F">
      <w:pPr>
        <w:rPr>
          <w:sz w:val="16"/>
        </w:rPr>
      </w:pPr>
    </w:p>
    <w:sectPr w:rsidR="001A50E4" w:rsidSect="00B3073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U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31FCF"/>
    <w:multiLevelType w:val="hybridMultilevel"/>
    <w:tmpl w:val="8E48C6D4"/>
    <w:lvl w:ilvl="0" w:tplc="4094D0F2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9247A4"/>
    <w:multiLevelType w:val="hybridMultilevel"/>
    <w:tmpl w:val="4BC8B3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678B6"/>
    <w:multiLevelType w:val="hybridMultilevel"/>
    <w:tmpl w:val="8E48C6D4"/>
    <w:lvl w:ilvl="0" w:tplc="4094D0F2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E52318"/>
    <w:multiLevelType w:val="hybridMultilevel"/>
    <w:tmpl w:val="35FED3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77629"/>
    <w:multiLevelType w:val="hybridMultilevel"/>
    <w:tmpl w:val="69428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E792D"/>
    <w:multiLevelType w:val="hybridMultilevel"/>
    <w:tmpl w:val="F8FEF2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9BF0B74"/>
    <w:multiLevelType w:val="hybridMultilevel"/>
    <w:tmpl w:val="18A008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B6BC4"/>
    <w:multiLevelType w:val="hybridMultilevel"/>
    <w:tmpl w:val="3D184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87D27"/>
    <w:multiLevelType w:val="hybridMultilevel"/>
    <w:tmpl w:val="8788EBCE"/>
    <w:lvl w:ilvl="0" w:tplc="F4A285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ahoma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D158B"/>
    <w:multiLevelType w:val="singleLevel"/>
    <w:tmpl w:val="55F869D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4A54EF0"/>
    <w:multiLevelType w:val="hybridMultilevel"/>
    <w:tmpl w:val="267A97F6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85" w:hanging="360"/>
      </w:pPr>
      <w:rPr>
        <w:rFonts w:ascii="Wingdings" w:hAnsi="Wingdings" w:cs="Wingdings" w:hint="default"/>
      </w:rPr>
    </w:lvl>
  </w:abstractNum>
  <w:num w:numId="1" w16cid:durableId="1415593204">
    <w:abstractNumId w:val="3"/>
  </w:num>
  <w:num w:numId="2" w16cid:durableId="36249492">
    <w:abstractNumId w:val="9"/>
  </w:num>
  <w:num w:numId="3" w16cid:durableId="333537801">
    <w:abstractNumId w:val="7"/>
  </w:num>
  <w:num w:numId="4" w16cid:durableId="2032678221">
    <w:abstractNumId w:val="10"/>
  </w:num>
  <w:num w:numId="5" w16cid:durableId="752243023">
    <w:abstractNumId w:val="1"/>
  </w:num>
  <w:num w:numId="6" w16cid:durableId="38208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3846256">
    <w:abstractNumId w:val="6"/>
  </w:num>
  <w:num w:numId="8" w16cid:durableId="1187407896">
    <w:abstractNumId w:val="6"/>
  </w:num>
  <w:num w:numId="9" w16cid:durableId="1768229947">
    <w:abstractNumId w:val="1"/>
  </w:num>
  <w:num w:numId="10" w16cid:durableId="167255737">
    <w:abstractNumId w:val="6"/>
  </w:num>
  <w:num w:numId="11" w16cid:durableId="2106685688">
    <w:abstractNumId w:val="5"/>
  </w:num>
  <w:num w:numId="12" w16cid:durableId="852761860">
    <w:abstractNumId w:val="4"/>
  </w:num>
  <w:num w:numId="13" w16cid:durableId="77806519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420155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CE"/>
    <w:rsid w:val="001058C3"/>
    <w:rsid w:val="001202B7"/>
    <w:rsid w:val="00123CD0"/>
    <w:rsid w:val="00134212"/>
    <w:rsid w:val="001A389C"/>
    <w:rsid w:val="001A50E4"/>
    <w:rsid w:val="00215160"/>
    <w:rsid w:val="002228CE"/>
    <w:rsid w:val="002328BB"/>
    <w:rsid w:val="00262701"/>
    <w:rsid w:val="00274B87"/>
    <w:rsid w:val="002B1ACA"/>
    <w:rsid w:val="002F368E"/>
    <w:rsid w:val="0035021A"/>
    <w:rsid w:val="00376D33"/>
    <w:rsid w:val="0038072C"/>
    <w:rsid w:val="00385D44"/>
    <w:rsid w:val="003A3C59"/>
    <w:rsid w:val="0040248A"/>
    <w:rsid w:val="00420681"/>
    <w:rsid w:val="00454232"/>
    <w:rsid w:val="004A168B"/>
    <w:rsid w:val="00524428"/>
    <w:rsid w:val="00624028"/>
    <w:rsid w:val="0066106C"/>
    <w:rsid w:val="006C0D1A"/>
    <w:rsid w:val="00720EA9"/>
    <w:rsid w:val="00723234"/>
    <w:rsid w:val="00765494"/>
    <w:rsid w:val="00843FBB"/>
    <w:rsid w:val="00886043"/>
    <w:rsid w:val="00944731"/>
    <w:rsid w:val="00954125"/>
    <w:rsid w:val="00961C1D"/>
    <w:rsid w:val="00962455"/>
    <w:rsid w:val="009807D7"/>
    <w:rsid w:val="009A6BDA"/>
    <w:rsid w:val="00A02192"/>
    <w:rsid w:val="00A41298"/>
    <w:rsid w:val="00A430A2"/>
    <w:rsid w:val="00AC2910"/>
    <w:rsid w:val="00AE120F"/>
    <w:rsid w:val="00B141EC"/>
    <w:rsid w:val="00B3073F"/>
    <w:rsid w:val="00C85E8B"/>
    <w:rsid w:val="00CE701B"/>
    <w:rsid w:val="00CF0FB3"/>
    <w:rsid w:val="00D05B15"/>
    <w:rsid w:val="00D60E4B"/>
    <w:rsid w:val="00D73A28"/>
    <w:rsid w:val="00D84A32"/>
    <w:rsid w:val="00DA2660"/>
    <w:rsid w:val="00DA50C7"/>
    <w:rsid w:val="00DE0E4F"/>
    <w:rsid w:val="00E02B84"/>
    <w:rsid w:val="00E231CB"/>
    <w:rsid w:val="00E244BB"/>
    <w:rsid w:val="00E24BAB"/>
    <w:rsid w:val="00F06402"/>
    <w:rsid w:val="00F556F7"/>
    <w:rsid w:val="00F9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1ED4"/>
  <w15:docId w15:val="{2230A966-BC1D-4BF3-AC26-042D651D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0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2660"/>
    <w:pPr>
      <w:ind w:left="720"/>
      <w:contextualSpacing/>
    </w:pPr>
  </w:style>
  <w:style w:type="paragraph" w:customStyle="1" w:styleId="Standard">
    <w:name w:val="Standard"/>
    <w:rsid w:val="00720EA9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215160"/>
    <w:pPr>
      <w:widowControl w:val="0"/>
      <w:autoSpaceDE w:val="0"/>
      <w:autoSpaceDN w:val="0"/>
    </w:pPr>
    <w:rPr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15160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Corpodeltesto21">
    <w:name w:val="Corpo del testo 21"/>
    <w:basedOn w:val="Normale"/>
    <w:rsid w:val="001A389C"/>
    <w:pPr>
      <w:tabs>
        <w:tab w:val="left" w:pos="6300"/>
      </w:tabs>
      <w:suppressAutoHyphens/>
      <w:jc w:val="center"/>
    </w:pPr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A8AC5-9298-480C-924E-C239F9A94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Gaetana Munafò</cp:lastModifiedBy>
  <cp:revision>67</cp:revision>
  <dcterms:created xsi:type="dcterms:W3CDTF">2018-04-27T15:00:00Z</dcterms:created>
  <dcterms:modified xsi:type="dcterms:W3CDTF">2022-04-16T14:11:00Z</dcterms:modified>
</cp:coreProperties>
</file>